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附件：单一来源采购征求意见公示表</w:t>
      </w:r>
    </w:p>
    <w:bookmarkEnd w:id="0"/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采购项目申请单位</w:t>
            </w:r>
          </w:p>
        </w:tc>
        <w:tc>
          <w:tcPr>
            <w:tcW w:w="41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4" w:leftChars="83" w:firstLine="568" w:firstLineChars="203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九州职业技术学院医疗与健康学院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41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4" w:leftChars="83" w:firstLine="568" w:firstLineChars="203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/>
              </w:rPr>
              <w:t>护理技能大赛静脉输液臂和气切模拟人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采购预算</w:t>
            </w:r>
          </w:p>
        </w:tc>
        <w:tc>
          <w:tcPr>
            <w:tcW w:w="41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4" w:leftChars="83" w:firstLine="568" w:firstLineChars="203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eastAsia="zh-CN"/>
              </w:rPr>
              <w:t>产品价格：伍万柒仟贰佰元整（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57200元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4" w:leftChars="83" w:firstLine="426" w:firstLineChars="203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41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4" w:leftChars="83" w:firstLine="568" w:firstLineChars="203"/>
              <w:textAlignment w:val="auto"/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eastAsia="zh-CN"/>
              </w:rPr>
              <w:t>技术服务费：</w:t>
            </w:r>
            <w:r>
              <w:rPr>
                <w:rFonts w:hint="eastAsia" w:ascii="仿宋" w:hAnsi="仿宋" w:eastAsia="仿宋" w:cs="仿宋"/>
                <w:b w:val="0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7" w:hRule="atLeast"/>
        </w:trPr>
        <w:tc>
          <w:tcPr>
            <w:tcW w:w="83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4167" w:type="pct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一、静脉输液臂IV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NUS0300071DDC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ab/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1455420" cy="970915"/>
                  <wp:effectExtent l="0" t="0" r="11430" b="635"/>
                  <wp:docPr id="3" name="图片 2" descr="静脉输液臂IV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静脉输液臂IV-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1、模拟亚洲成人手臂，外形逼真，手感柔软，具有逼真的皮肤纹理、血管走形等特征；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2、可以进行手背静脉网的穿刺、输液操作训练，可穿刺点多，至少具备4条以上可操作血管；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3、可进行肘部静脉的穿刺、采血、输液操作训练，具有头静脉、肘正中静脉、贵要静脉可供穿刺等操作；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4、进行手背静脉穿刺和肘部静脉穿刺时，可以分别摆出正确体位；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5、模型可以训练和考核手臂静脉穿刺的整个流程：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1)手背静脉网和肘部静脉穿刺部位可以进行操作前消毒，消毒痕迹操作后方便去除，不留痕迹；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2)手背静脉网和肘部静脉穿刺部位血管可以触摸到；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3)进行手背静脉网和肘部静脉穿刺前，必须进行止血带结扎，止血带未结扎或位置不正确，穿刺后无回血，提示前一步骤有误；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4)正确结扎止血带后，手背静脉可以弯曲手指，绷紧手背皮肤，穿刺成功，回血明显；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5)穿刺成功后，松开止血带，可进行连续输液，液滴0～100滴/分连续可调，如未松止血带，无法进行输液；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6)输液器穿刺针可以使用贴敷牢固固定，不松脱；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7)血管耐穿刺，可反复使用；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6、模型为手臂外形，无外接血袋、水袋或其他容器，方便移动和使用；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7、在使用者进行穿刺的整个操作过程中，如同在真人身上使用，不需要其他人为干预，无需进行开关、排液、按压等操作，以免影响使用者注意力；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8、手臂可以连续输液或多个操作者间断输液至少200ml以上，不需要干预排液，以免影响操作者使用；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9、手臂外皮和内部血管可更换；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10、手臂可以连接到整体人身上，以便模拟更真实场景。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  <w:t>二、高级多功能气道护理综合模拟人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HD/2020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drawing>
                <wp:inline distT="0" distB="0" distL="114300" distR="114300">
                  <wp:extent cx="3181350" cy="95250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ab/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一、产品功能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1、四肢关节左右弯曲、旋转、上下活动，可练习翻身叩背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2、头部护理：洗头洗脸、眼耳滴药水清洗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3、整体护理：擦浴、穿换衣服、冷热疗法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4、模拟人内置仿真双眼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5、模拟眼球可实现5种瞳孔示教：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启动开关键，指示灯显示蓝色，瞳孔处于散大状态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按压瞳孔键，指示灯显示红色，瞳孔一大一小对比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按压瞳孔键，指示灯显示绿色，瞳孔处于正常状态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按压瞳孔键，指示灯显示橙黄色，瞳孔处于缩小状态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瞳孔正常状态下，可实现对光反射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6、气管切开术护理，可连接吸痰器练习吸痰技术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7、气道湿化，可连接雾化器进行雾化吸入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8、口腔护理、假牙护理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9、口鼻气管插管操作训练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10、口鼻饲法、灌肠法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11、洗胃法、胃管置入术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12、女性/男性导尿术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13、女性/男性膀胱冲洗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14、造瘘引流术、造瘘口护理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15、胸腔解剖重要器官结构观察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16、手臂静脉穿刺、注射、输液（血）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17、三角肌皮下注射，注射模块可取下清洗，更换方便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18、股外侧肌注射，注射模块可取下清洗，更换方便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19、臀部肌肉注射，注射模块可取下清洗，更换方便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20、褥疮护理：显示压疮的临床分期4个不同阶段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第一期：淤血红润期；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第二期：炎症浸润期；</w:t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第三期：浅度溃疡期，深度溃疡期；</w:t>
            </w:r>
            <w:r>
              <w:rPr>
                <w:rFonts w:hint="eastAsia" w:ascii="仿宋" w:hAnsi="仿宋" w:eastAsia="仿宋" w:cs="仿宋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  <w:t>拟定供应商全称</w:t>
            </w:r>
          </w:p>
        </w:tc>
        <w:tc>
          <w:tcPr>
            <w:tcW w:w="41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河北泽邦医疗设备科技有限公司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</w:rPr>
              <w:t>单一来源采购理由</w:t>
            </w:r>
          </w:p>
        </w:tc>
        <w:tc>
          <w:tcPr>
            <w:tcW w:w="41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2022年江苏省护理技能大赛所使用的器材，均由大赛办统一招标确定。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ahoma" w:hAnsi="Tahoma" w:cs="Tahoma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333333"/>
                <w:kern w:val="0"/>
                <w:sz w:val="32"/>
                <w:szCs w:val="32"/>
              </w:rPr>
              <w:t>备</w:t>
            </w:r>
            <w:r>
              <w:rPr>
                <w:rFonts w:hint="eastAsia" w:ascii="Tahoma" w:hAnsi="Tahoma" w:cs="Tahoma"/>
                <w:b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kern w:val="0"/>
                <w:sz w:val="32"/>
                <w:szCs w:val="32"/>
              </w:rPr>
              <w:t>注</w:t>
            </w:r>
          </w:p>
        </w:tc>
        <w:tc>
          <w:tcPr>
            <w:tcW w:w="41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4" w:leftChars="83" w:firstLine="652" w:firstLineChars="203"/>
              <w:textAlignment w:val="auto"/>
              <w:rPr>
                <w:rFonts w:ascii="Tahoma" w:hAnsi="Tahoma" w:cs="Tahoma"/>
                <w:b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szCs w:val="21"/>
        </w:rPr>
      </w:pPr>
    </w:p>
    <w:sectPr>
      <w:pgSz w:w="11906" w:h="16838"/>
      <w:pgMar w:top="1310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04"/>
    <w:rsid w:val="000152AB"/>
    <w:rsid w:val="00060D2B"/>
    <w:rsid w:val="000715F5"/>
    <w:rsid w:val="000764B8"/>
    <w:rsid w:val="001D3EEE"/>
    <w:rsid w:val="0021555B"/>
    <w:rsid w:val="00284328"/>
    <w:rsid w:val="00453BC7"/>
    <w:rsid w:val="004B10C7"/>
    <w:rsid w:val="006C4B2F"/>
    <w:rsid w:val="00776C86"/>
    <w:rsid w:val="009426E5"/>
    <w:rsid w:val="00A746AD"/>
    <w:rsid w:val="00AA2FB6"/>
    <w:rsid w:val="00B276CA"/>
    <w:rsid w:val="00C34904"/>
    <w:rsid w:val="00CC7D4D"/>
    <w:rsid w:val="00DD4DD1"/>
    <w:rsid w:val="00F1632C"/>
    <w:rsid w:val="00F67F02"/>
    <w:rsid w:val="0BC46D8D"/>
    <w:rsid w:val="0C7B5FFC"/>
    <w:rsid w:val="0D871167"/>
    <w:rsid w:val="116B1C6D"/>
    <w:rsid w:val="14FA694A"/>
    <w:rsid w:val="16E86B55"/>
    <w:rsid w:val="19E12931"/>
    <w:rsid w:val="27C5686E"/>
    <w:rsid w:val="3A5D3BBC"/>
    <w:rsid w:val="3D6C1B30"/>
    <w:rsid w:val="3F714CC6"/>
    <w:rsid w:val="41726F44"/>
    <w:rsid w:val="47247B90"/>
    <w:rsid w:val="4C403FD1"/>
    <w:rsid w:val="4D5E7769"/>
    <w:rsid w:val="4E5118F5"/>
    <w:rsid w:val="56E66D8D"/>
    <w:rsid w:val="5BAD11D5"/>
    <w:rsid w:val="684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line="273" w:lineRule="auto"/>
      <w:ind w:firstLine="420" w:firstLineChars="200"/>
      <w:jc w:val="left"/>
    </w:pPr>
    <w:rPr>
      <w:rFonts w:ascii="Calibri" w:hAnsi="Calibri" w:cs="Calibri"/>
      <w:kern w:val="0"/>
      <w:sz w:val="22"/>
      <w:szCs w:val="22"/>
    </w:rPr>
  </w:style>
  <w:style w:type="paragraph" w:styleId="3">
    <w:name w:val="Body Text Indent"/>
    <w:basedOn w:val="1"/>
    <w:qFormat/>
    <w:uiPriority w:val="0"/>
    <w:pPr>
      <w:ind w:firstLine="6720" w:firstLineChars="1400"/>
    </w:pPr>
    <w:rPr>
      <w:sz w:val="4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1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2019-10-10T23:08:00Z</dcterms:created>
  <dc:creator>Tan lijuan</dc:creator>
  <cp:lastModifiedBy>晓伟</cp:lastModifiedBy>
  <cp:lastPrinted>2021-12-10T02:39:00Z</cp:lastPrinted>
  <dcterms:modified xsi:type="dcterms:W3CDTF">2021-12-16T07:57:27Z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E915095864EA40AE9B1689C8925946CC</vt:lpwstr>
  </property>
</Properties>
</file>