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right" w:leader="dot" w:pos="9070"/>
          <w:tab w:val="clear" w:pos="840"/>
          <w:tab w:val="clear" w:pos="8302"/>
        </w:tabs>
        <w:jc w:val="center"/>
        <w:rPr>
          <w:rFonts w:hint="eastAsia" w:ascii="仿宋" w:hAnsi="仿宋" w:eastAsia="仿宋" w:cs="仿宋"/>
          <w:b/>
          <w:sz w:val="28"/>
          <w:szCs w:val="28"/>
        </w:rPr>
      </w:pPr>
      <w:bookmarkStart w:id="0" w:name="_Toc27650"/>
      <w:r>
        <w:rPr>
          <w:rFonts w:hint="eastAsia" w:ascii="仿宋" w:hAnsi="仿宋" w:eastAsia="仿宋" w:cs="仿宋"/>
          <w:b/>
          <w:sz w:val="28"/>
          <w:szCs w:val="28"/>
        </w:rPr>
        <w:t>目录</w:t>
      </w:r>
    </w:p>
    <w:p>
      <w:pPr>
        <w:pStyle w:val="6"/>
        <w:tabs>
          <w:tab w:val="right" w:leader="dot" w:pos="9070"/>
          <w:tab w:val="clear" w:pos="840"/>
          <w:tab w:val="clear" w:pos="8302"/>
        </w:tabs>
        <w:rPr>
          <w:rFonts w:hint="eastAsia" w:ascii="微软雅黑" w:hAnsi="微软雅黑" w:eastAsia="微软雅黑" w:cs="微软雅黑"/>
          <w:szCs w:val="21"/>
        </w:rPr>
      </w:pPr>
      <w:r>
        <w:rPr>
          <w:rFonts w:hint="eastAsia" w:ascii="微软雅黑" w:hAnsi="微软雅黑" w:eastAsia="微软雅黑" w:cs="微软雅黑"/>
          <w:b/>
          <w:szCs w:val="21"/>
        </w:rPr>
        <w:fldChar w:fldCharType="begin"/>
      </w:r>
      <w:r>
        <w:rPr>
          <w:rFonts w:hint="eastAsia" w:ascii="微软雅黑" w:hAnsi="微软雅黑" w:eastAsia="微软雅黑" w:cs="微软雅黑"/>
          <w:b/>
          <w:szCs w:val="21"/>
        </w:rPr>
        <w:instrText xml:space="preserve"> TOC \* MERGEFORMAT </w:instrText>
      </w:r>
      <w:r>
        <w:rPr>
          <w:rFonts w:hint="eastAsia" w:ascii="微软雅黑" w:hAnsi="微软雅黑" w:eastAsia="微软雅黑" w:cs="微软雅黑"/>
          <w:b/>
          <w:szCs w:val="21"/>
        </w:rPr>
        <w:fldChar w:fldCharType="separate"/>
      </w:r>
      <w:r>
        <w:rPr>
          <w:rFonts w:hint="eastAsia" w:ascii="微软雅黑" w:hAnsi="微软雅黑" w:eastAsia="微软雅黑" w:cs="微软雅黑"/>
          <w:szCs w:val="21"/>
        </w:rPr>
        <w:t>第一部分  招标邀请函</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_Toc22400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2</w:t>
      </w:r>
      <w:r>
        <w:rPr>
          <w:rFonts w:hint="eastAsia" w:ascii="微软雅黑" w:hAnsi="微软雅黑" w:eastAsia="微软雅黑" w:cs="微软雅黑"/>
          <w:szCs w:val="21"/>
        </w:rPr>
        <w:fldChar w:fldCharType="end"/>
      </w:r>
    </w:p>
    <w:p>
      <w:pPr>
        <w:pStyle w:val="6"/>
        <w:tabs>
          <w:tab w:val="right" w:leader="dot" w:pos="9070"/>
          <w:tab w:val="clear" w:pos="840"/>
          <w:tab w:val="clear" w:pos="8302"/>
        </w:tabs>
        <w:rPr>
          <w:rFonts w:hint="eastAsia" w:ascii="微软雅黑" w:hAnsi="微软雅黑" w:eastAsia="微软雅黑" w:cs="微软雅黑"/>
          <w:szCs w:val="21"/>
        </w:rPr>
      </w:pPr>
      <w:r>
        <w:rPr>
          <w:rFonts w:hint="eastAsia" w:ascii="微软雅黑" w:hAnsi="微软雅黑" w:eastAsia="微软雅黑" w:cs="微软雅黑"/>
          <w:szCs w:val="21"/>
        </w:rPr>
        <w:t>第二部分 投标商须知</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_Toc27650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3</w:t>
      </w:r>
      <w:r>
        <w:rPr>
          <w:rFonts w:hint="eastAsia" w:ascii="微软雅黑" w:hAnsi="微软雅黑" w:eastAsia="微软雅黑" w:cs="微软雅黑"/>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一、特别提醒</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_Toc9532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二、投标单位需提供以下相关证明材料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_Toc30849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三、投标相关事项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_Toc6218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四、投标履约保证金</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_Toc26840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五、 评标和决标</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_Toc12640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六、合同条款要求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_Toc2913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七．投标文件构成</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_Toc31750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5</w:t>
      </w:r>
      <w:r>
        <w:rPr>
          <w:rFonts w:hint="eastAsia" w:ascii="微软雅黑" w:hAnsi="微软雅黑" w:eastAsia="微软雅黑" w:cs="微软雅黑"/>
          <w:sz w:val="21"/>
          <w:szCs w:val="21"/>
        </w:rPr>
        <w:fldChar w:fldCharType="end"/>
      </w:r>
    </w:p>
    <w:p>
      <w:pPr>
        <w:pStyle w:val="6"/>
        <w:tabs>
          <w:tab w:val="right" w:leader="dot" w:pos="9070"/>
          <w:tab w:val="clear" w:pos="840"/>
          <w:tab w:val="clear" w:pos="8302"/>
        </w:tabs>
        <w:rPr>
          <w:rFonts w:hint="eastAsia" w:ascii="微软雅黑" w:hAnsi="微软雅黑" w:eastAsia="微软雅黑" w:cs="微软雅黑"/>
          <w:szCs w:val="21"/>
        </w:rPr>
      </w:pPr>
      <w:r>
        <w:rPr>
          <w:rFonts w:hint="eastAsia" w:ascii="微软雅黑" w:hAnsi="微软雅黑" w:eastAsia="微软雅黑" w:cs="微软雅黑"/>
          <w:szCs w:val="21"/>
        </w:rPr>
        <w:t>第三部分  招标项目内容及技术要求</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_Toc8651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7</w:t>
      </w:r>
      <w:r>
        <w:rPr>
          <w:rFonts w:hint="eastAsia" w:ascii="微软雅黑" w:hAnsi="微软雅黑" w:eastAsia="微软雅黑" w:cs="微软雅黑"/>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一、项目建设清单</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_Toc11854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p>
    <w:p>
      <w:pPr>
        <w:pStyle w:val="5"/>
        <w:tabs>
          <w:tab w:val="right" w:leader="dot" w:pos="9070"/>
          <w:tab w:val="clear" w:pos="8302"/>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（一）大平台及系统集成部分</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_Toc8319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7</w:t>
      </w:r>
      <w:r>
        <w:rPr>
          <w:rFonts w:hint="eastAsia" w:ascii="微软雅黑" w:hAnsi="微软雅黑" w:eastAsia="微软雅黑" w:cs="微软雅黑"/>
          <w:sz w:val="21"/>
          <w:szCs w:val="21"/>
        </w:rPr>
        <w:fldChar w:fldCharType="end"/>
      </w:r>
    </w:p>
    <w:p>
      <w:pPr>
        <w:pStyle w:val="7"/>
        <w:tabs>
          <w:tab w:val="right" w:leader="dot" w:pos="9070"/>
        </w:tabs>
        <w:ind w:left="0" w:leftChars="0"/>
        <w:rPr>
          <w:rFonts w:hint="eastAsia" w:ascii="微软雅黑" w:hAnsi="微软雅黑" w:eastAsia="微软雅黑" w:cs="微软雅黑"/>
          <w:szCs w:val="21"/>
        </w:rPr>
      </w:pPr>
      <w:r>
        <w:rPr>
          <w:rFonts w:hint="eastAsia" w:ascii="微软雅黑" w:hAnsi="微软雅黑" w:eastAsia="微软雅黑" w:cs="微软雅黑"/>
          <w:szCs w:val="21"/>
        </w:rPr>
        <w:t xml:space="preserve">     （二）碎片化应用管理系统部分</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_Toc3891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8</w:t>
      </w:r>
      <w:r>
        <w:rPr>
          <w:rFonts w:hint="eastAsia" w:ascii="微软雅黑" w:hAnsi="微软雅黑" w:eastAsia="微软雅黑" w:cs="微软雅黑"/>
          <w:szCs w:val="21"/>
        </w:rPr>
        <w:fldChar w:fldCharType="end"/>
      </w:r>
    </w:p>
    <w:p>
      <w:pPr>
        <w:pStyle w:val="7"/>
        <w:tabs>
          <w:tab w:val="right" w:leader="dot" w:pos="9070"/>
        </w:tabs>
        <w:ind w:left="0" w:leftChars="0"/>
        <w:rPr>
          <w:rFonts w:hint="eastAsia" w:ascii="微软雅黑" w:hAnsi="微软雅黑" w:eastAsia="微软雅黑" w:cs="微软雅黑"/>
          <w:szCs w:val="21"/>
        </w:rPr>
      </w:pPr>
      <w:r>
        <w:rPr>
          <w:rFonts w:hint="eastAsia" w:ascii="微软雅黑" w:hAnsi="微软雅黑" w:eastAsia="微软雅黑" w:cs="微软雅黑"/>
          <w:szCs w:val="21"/>
        </w:rPr>
        <w:t xml:space="preserve">     （三）基础支撑硬件平台部分</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_Toc3570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9</w:t>
      </w:r>
      <w:r>
        <w:rPr>
          <w:rFonts w:hint="eastAsia" w:ascii="微软雅黑" w:hAnsi="微软雅黑" w:eastAsia="微软雅黑" w:cs="微软雅黑"/>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二、建设要求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_Toc8468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10</w:t>
      </w:r>
      <w:r>
        <w:rPr>
          <w:rFonts w:hint="eastAsia" w:ascii="微软雅黑" w:hAnsi="微软雅黑" w:eastAsia="微软雅黑" w:cs="微软雅黑"/>
          <w:sz w:val="21"/>
          <w:szCs w:val="21"/>
        </w:rPr>
        <w:fldChar w:fldCharType="end"/>
      </w:r>
    </w:p>
    <w:p>
      <w:pPr>
        <w:pStyle w:val="5"/>
        <w:tabs>
          <w:tab w:val="right" w:leader="dot" w:pos="9070"/>
          <w:tab w:val="clear" w:pos="8302"/>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（一）建设原则</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_Toc10691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10</w:t>
      </w:r>
      <w:r>
        <w:rPr>
          <w:rFonts w:hint="eastAsia" w:ascii="微软雅黑" w:hAnsi="微软雅黑" w:eastAsia="微软雅黑" w:cs="微软雅黑"/>
          <w:sz w:val="21"/>
          <w:szCs w:val="21"/>
        </w:rPr>
        <w:fldChar w:fldCharType="end"/>
      </w:r>
    </w:p>
    <w:p>
      <w:pPr>
        <w:pStyle w:val="5"/>
        <w:tabs>
          <w:tab w:val="right" w:leader="dot" w:pos="9070"/>
          <w:tab w:val="clear" w:pos="8302"/>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（二）一期建设目标</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_Toc14566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10</w:t>
      </w:r>
      <w:r>
        <w:rPr>
          <w:rFonts w:hint="eastAsia" w:ascii="微软雅黑" w:hAnsi="微软雅黑" w:eastAsia="微软雅黑" w:cs="微软雅黑"/>
          <w:sz w:val="21"/>
          <w:szCs w:val="21"/>
        </w:rPr>
        <w:fldChar w:fldCharType="end"/>
      </w:r>
    </w:p>
    <w:p>
      <w:pPr>
        <w:pStyle w:val="5"/>
        <w:tabs>
          <w:tab w:val="right" w:leader="dot" w:pos="9070"/>
          <w:tab w:val="clear" w:pos="8302"/>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（三）校园信息化运营平台上的功能细项</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_Toc412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11</w:t>
      </w:r>
      <w:r>
        <w:rPr>
          <w:rFonts w:hint="eastAsia" w:ascii="微软雅黑" w:hAnsi="微软雅黑" w:eastAsia="微软雅黑" w:cs="微软雅黑"/>
          <w:sz w:val="21"/>
          <w:szCs w:val="21"/>
        </w:rPr>
        <w:fldChar w:fldCharType="end"/>
      </w:r>
    </w:p>
    <w:p>
      <w:pPr>
        <w:pStyle w:val="7"/>
        <w:tabs>
          <w:tab w:val="right" w:leader="dot" w:pos="9070"/>
        </w:tabs>
        <w:rPr>
          <w:rFonts w:hint="eastAsia" w:ascii="微软雅黑" w:hAnsi="微软雅黑" w:eastAsia="微软雅黑" w:cs="微软雅黑"/>
          <w:szCs w:val="21"/>
        </w:rPr>
      </w:pPr>
      <w:r>
        <w:rPr>
          <w:rFonts w:hint="eastAsia" w:ascii="微软雅黑" w:hAnsi="微软雅黑" w:eastAsia="微软雅黑" w:cs="微软雅黑"/>
          <w:szCs w:val="21"/>
        </w:rPr>
        <w:t>1、统一身份认证管理平台</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_Toc12303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11</w:t>
      </w:r>
      <w:r>
        <w:rPr>
          <w:rFonts w:hint="eastAsia" w:ascii="微软雅黑" w:hAnsi="微软雅黑" w:eastAsia="微软雅黑" w:cs="微软雅黑"/>
          <w:szCs w:val="21"/>
        </w:rPr>
        <w:fldChar w:fldCharType="end"/>
      </w:r>
    </w:p>
    <w:p>
      <w:pPr>
        <w:pStyle w:val="7"/>
        <w:tabs>
          <w:tab w:val="right" w:leader="dot" w:pos="9070"/>
        </w:tabs>
        <w:rPr>
          <w:rFonts w:hint="eastAsia" w:ascii="微软雅黑" w:hAnsi="微软雅黑" w:eastAsia="微软雅黑" w:cs="微软雅黑"/>
          <w:szCs w:val="21"/>
        </w:rPr>
      </w:pPr>
      <w:r>
        <w:rPr>
          <w:rFonts w:hint="eastAsia" w:ascii="微软雅黑" w:hAnsi="微软雅黑" w:eastAsia="微软雅黑" w:cs="微软雅黑"/>
          <w:szCs w:val="21"/>
        </w:rPr>
        <w:t>2、统一门户（含办事大厅）及基础平台</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_Toc2595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11</w:t>
      </w:r>
      <w:r>
        <w:rPr>
          <w:rFonts w:hint="eastAsia" w:ascii="微软雅黑" w:hAnsi="微软雅黑" w:eastAsia="微软雅黑" w:cs="微软雅黑"/>
          <w:szCs w:val="21"/>
        </w:rPr>
        <w:fldChar w:fldCharType="end"/>
      </w:r>
    </w:p>
    <w:p>
      <w:pPr>
        <w:pStyle w:val="7"/>
        <w:tabs>
          <w:tab w:val="right" w:leader="dot" w:pos="9070"/>
        </w:tabs>
        <w:rPr>
          <w:rFonts w:hint="eastAsia" w:ascii="微软雅黑" w:hAnsi="微软雅黑" w:eastAsia="微软雅黑" w:cs="微软雅黑"/>
          <w:szCs w:val="21"/>
        </w:rPr>
      </w:pPr>
      <w:r>
        <w:rPr>
          <w:rFonts w:hint="eastAsia" w:ascii="微软雅黑" w:hAnsi="微软雅黑" w:eastAsia="微软雅黑" w:cs="微软雅黑"/>
          <w:szCs w:val="21"/>
        </w:rPr>
        <w:t>3、校园服务总线</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_Toc3598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13</w:t>
      </w:r>
      <w:r>
        <w:rPr>
          <w:rFonts w:hint="eastAsia" w:ascii="微软雅黑" w:hAnsi="微软雅黑" w:eastAsia="微软雅黑" w:cs="微软雅黑"/>
          <w:szCs w:val="21"/>
        </w:rPr>
        <w:fldChar w:fldCharType="end"/>
      </w:r>
    </w:p>
    <w:p>
      <w:pPr>
        <w:pStyle w:val="7"/>
        <w:tabs>
          <w:tab w:val="right" w:leader="dot" w:pos="9070"/>
        </w:tabs>
        <w:rPr>
          <w:rFonts w:hint="eastAsia" w:ascii="微软雅黑" w:hAnsi="微软雅黑" w:eastAsia="微软雅黑" w:cs="微软雅黑"/>
          <w:szCs w:val="21"/>
        </w:rPr>
      </w:pPr>
      <w:r>
        <w:rPr>
          <w:rFonts w:hint="eastAsia" w:ascii="微软雅黑" w:hAnsi="微软雅黑" w:eastAsia="微软雅黑" w:cs="微软雅黑"/>
          <w:szCs w:val="21"/>
        </w:rPr>
        <w:t>4、主数据平台建设（含信息标准平台）</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_Toc17544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14</w:t>
      </w:r>
      <w:r>
        <w:rPr>
          <w:rFonts w:hint="eastAsia" w:ascii="微软雅黑" w:hAnsi="微软雅黑" w:eastAsia="微软雅黑" w:cs="微软雅黑"/>
          <w:szCs w:val="21"/>
        </w:rPr>
        <w:fldChar w:fldCharType="end"/>
      </w:r>
    </w:p>
    <w:p>
      <w:pPr>
        <w:pStyle w:val="7"/>
        <w:tabs>
          <w:tab w:val="right" w:leader="dot" w:pos="9070"/>
        </w:tabs>
        <w:rPr>
          <w:rFonts w:hint="eastAsia" w:ascii="微软雅黑" w:hAnsi="微软雅黑" w:eastAsia="微软雅黑" w:cs="微软雅黑"/>
          <w:szCs w:val="21"/>
        </w:rPr>
      </w:pPr>
      <w:r>
        <w:rPr>
          <w:rFonts w:hint="eastAsia" w:ascii="微软雅黑" w:hAnsi="微软雅黑" w:eastAsia="微软雅黑" w:cs="微软雅黑"/>
          <w:szCs w:val="21"/>
        </w:rPr>
        <w:t>5、公共应用服务（不少于20个）</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_Toc12372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15</w:t>
      </w:r>
      <w:r>
        <w:rPr>
          <w:rFonts w:hint="eastAsia" w:ascii="微软雅黑" w:hAnsi="微软雅黑" w:eastAsia="微软雅黑" w:cs="微软雅黑"/>
          <w:szCs w:val="21"/>
        </w:rPr>
        <w:fldChar w:fldCharType="end"/>
      </w:r>
    </w:p>
    <w:p>
      <w:pPr>
        <w:pStyle w:val="7"/>
        <w:tabs>
          <w:tab w:val="right" w:leader="dot" w:pos="9070"/>
        </w:tabs>
        <w:rPr>
          <w:rFonts w:hint="eastAsia" w:ascii="微软雅黑" w:hAnsi="微软雅黑" w:eastAsia="微软雅黑" w:cs="微软雅黑"/>
          <w:szCs w:val="21"/>
        </w:rPr>
      </w:pPr>
      <w:r>
        <w:rPr>
          <w:rFonts w:hint="eastAsia" w:ascii="微软雅黑" w:hAnsi="微软雅黑" w:eastAsia="微软雅黑" w:cs="微软雅黑"/>
          <w:szCs w:val="21"/>
        </w:rPr>
        <w:t>6、协同办公系统应用服务（OA系统）</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_Toc32116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18</w:t>
      </w:r>
      <w:r>
        <w:rPr>
          <w:rFonts w:hint="eastAsia" w:ascii="微软雅黑" w:hAnsi="微软雅黑" w:eastAsia="微软雅黑" w:cs="微软雅黑"/>
          <w:szCs w:val="21"/>
        </w:rPr>
        <w:fldChar w:fldCharType="end"/>
      </w:r>
    </w:p>
    <w:p>
      <w:pPr>
        <w:pStyle w:val="7"/>
        <w:tabs>
          <w:tab w:val="right" w:leader="dot" w:pos="9070"/>
        </w:tabs>
        <w:rPr>
          <w:rFonts w:hint="eastAsia" w:ascii="微软雅黑" w:hAnsi="微软雅黑" w:eastAsia="微软雅黑" w:cs="微软雅黑"/>
          <w:szCs w:val="21"/>
        </w:rPr>
      </w:pPr>
      <w:r>
        <w:rPr>
          <w:rFonts w:hint="eastAsia" w:ascii="微软雅黑" w:hAnsi="微软雅黑" w:eastAsia="微软雅黑" w:cs="微软雅黑"/>
          <w:szCs w:val="21"/>
        </w:rPr>
        <w:t>7、决策数据智能分析</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_Toc27133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21</w:t>
      </w:r>
      <w:r>
        <w:rPr>
          <w:rFonts w:hint="eastAsia" w:ascii="微软雅黑" w:hAnsi="微软雅黑" w:eastAsia="微软雅黑" w:cs="微软雅黑"/>
          <w:szCs w:val="21"/>
        </w:rPr>
        <w:fldChar w:fldCharType="end"/>
      </w:r>
    </w:p>
    <w:p>
      <w:pPr>
        <w:pStyle w:val="7"/>
        <w:tabs>
          <w:tab w:val="right" w:leader="dot" w:pos="9070"/>
        </w:tabs>
        <w:rPr>
          <w:rFonts w:hint="eastAsia" w:ascii="微软雅黑" w:hAnsi="微软雅黑" w:eastAsia="微软雅黑" w:cs="微软雅黑"/>
          <w:szCs w:val="21"/>
        </w:rPr>
      </w:pPr>
      <w:r>
        <w:rPr>
          <w:rFonts w:hint="eastAsia" w:ascii="微软雅黑" w:hAnsi="微软雅黑" w:eastAsia="微软雅黑" w:cs="微软雅黑"/>
          <w:szCs w:val="21"/>
        </w:rPr>
        <w:t>8、碎片化应用服务</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_Toc22617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21</w:t>
      </w:r>
      <w:r>
        <w:rPr>
          <w:rFonts w:hint="eastAsia" w:ascii="微软雅黑" w:hAnsi="微软雅黑" w:eastAsia="微软雅黑" w:cs="微软雅黑"/>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三、校园信息化的技术要求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_Toc8783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22</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四、培训及技术转移</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_Toc12927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25</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五、演示要求</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_Toc28708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26</w:t>
      </w:r>
      <w:r>
        <w:rPr>
          <w:rFonts w:hint="eastAsia" w:ascii="微软雅黑" w:hAnsi="微软雅黑" w:eastAsia="微软雅黑" w:cs="微软雅黑"/>
          <w:sz w:val="21"/>
          <w:szCs w:val="21"/>
        </w:rPr>
        <w:fldChar w:fldCharType="end"/>
      </w:r>
    </w:p>
    <w:p>
      <w:pPr>
        <w:pStyle w:val="6"/>
        <w:tabs>
          <w:tab w:val="right" w:leader="dot" w:pos="9070"/>
          <w:tab w:val="clear" w:pos="840"/>
          <w:tab w:val="clear" w:pos="8302"/>
        </w:tabs>
        <w:rPr>
          <w:rFonts w:hint="eastAsia" w:ascii="微软雅黑" w:hAnsi="微软雅黑" w:eastAsia="微软雅黑" w:cs="微软雅黑"/>
          <w:szCs w:val="21"/>
        </w:rPr>
      </w:pPr>
      <w:r>
        <w:rPr>
          <w:rFonts w:hint="eastAsia" w:ascii="微软雅黑" w:hAnsi="微软雅黑" w:eastAsia="微软雅黑" w:cs="微软雅黑"/>
          <w:szCs w:val="21"/>
        </w:rPr>
        <w:t>第四部分 附件</w:t>
      </w:r>
      <w:r>
        <w:rPr>
          <w:rFonts w:hint="eastAsia" w:ascii="微软雅黑" w:hAnsi="微软雅黑" w:eastAsia="微软雅黑" w:cs="微软雅黑"/>
          <w:szCs w:val="21"/>
        </w:rPr>
        <w:tab/>
      </w:r>
      <w:r>
        <w:rPr>
          <w:rFonts w:hint="eastAsia" w:ascii="微软雅黑" w:hAnsi="微软雅黑" w:eastAsia="微软雅黑" w:cs="微软雅黑"/>
          <w:szCs w:val="21"/>
        </w:rPr>
        <w:fldChar w:fldCharType="begin"/>
      </w:r>
      <w:r>
        <w:rPr>
          <w:rFonts w:hint="eastAsia" w:ascii="微软雅黑" w:hAnsi="微软雅黑" w:eastAsia="微软雅黑" w:cs="微软雅黑"/>
          <w:szCs w:val="21"/>
        </w:rPr>
        <w:instrText xml:space="preserve"> PAGEREF _Toc836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1"/>
        </w:rPr>
        <w:t>26</w:t>
      </w:r>
      <w:r>
        <w:rPr>
          <w:rFonts w:hint="eastAsia" w:ascii="微软雅黑" w:hAnsi="微软雅黑" w:eastAsia="微软雅黑" w:cs="微软雅黑"/>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附件1  投标书（格式）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_Toc25002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26</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附件2  投标一览表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_Toc19288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27</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附件3  投标分项报价表</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_Toc23326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28</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附件4  资格证明文件（格式）附件4-1  法定代表人授权书(格式)</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_Toc29452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29</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附件5  业绩证明文件</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_Toc3184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31</w:t>
      </w:r>
      <w:r>
        <w:rPr>
          <w:rFonts w:hint="eastAsia" w:ascii="微软雅黑" w:hAnsi="微软雅黑" w:eastAsia="微软雅黑" w:cs="微软雅黑"/>
          <w:sz w:val="21"/>
          <w:szCs w:val="21"/>
        </w:rPr>
        <w:fldChar w:fldCharType="end"/>
      </w:r>
    </w:p>
    <w:p>
      <w:pPr>
        <w:pStyle w:val="8"/>
        <w:tabs>
          <w:tab w:val="right" w:leader="dot" w:pos="9070"/>
        </w:tabs>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附件6  项目实施（供货）方案及售后服务方案和承诺</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PAGEREF _Toc14315 </w:instrText>
      </w:r>
      <w:r>
        <w:rPr>
          <w:rFonts w:hint="eastAsia" w:ascii="微软雅黑" w:hAnsi="微软雅黑" w:eastAsia="微软雅黑" w:cs="微软雅黑"/>
          <w:sz w:val="21"/>
          <w:szCs w:val="21"/>
        </w:rPr>
        <w:fldChar w:fldCharType="separate"/>
      </w:r>
      <w:r>
        <w:rPr>
          <w:rFonts w:hint="eastAsia" w:ascii="微软雅黑" w:hAnsi="微软雅黑" w:eastAsia="微软雅黑" w:cs="微软雅黑"/>
          <w:sz w:val="21"/>
          <w:szCs w:val="21"/>
        </w:rPr>
        <w:t>32</w:t>
      </w:r>
      <w:r>
        <w:rPr>
          <w:rFonts w:hint="eastAsia" w:ascii="微软雅黑" w:hAnsi="微软雅黑" w:eastAsia="微软雅黑" w:cs="微软雅黑"/>
          <w:sz w:val="21"/>
          <w:szCs w:val="21"/>
        </w:rPr>
        <w:fldChar w:fldCharType="end"/>
      </w:r>
    </w:p>
    <w:p>
      <w:pPr>
        <w:pStyle w:val="2"/>
        <w:jc w:val="center"/>
        <w:rPr>
          <w:rFonts w:hint="eastAsia"/>
          <w:sz w:val="32"/>
          <w:szCs w:val="32"/>
        </w:rPr>
      </w:pPr>
      <w:r>
        <w:rPr>
          <w:rFonts w:hint="eastAsia" w:ascii="微软雅黑" w:hAnsi="微软雅黑" w:eastAsia="微软雅黑" w:cs="微软雅黑"/>
          <w:b/>
          <w:szCs w:val="21"/>
        </w:rPr>
        <w:fldChar w:fldCharType="end"/>
      </w:r>
      <w:bookmarkStart w:id="8" w:name="_GoBack"/>
      <w:bookmarkEnd w:id="8"/>
    </w:p>
    <w:p>
      <w:pPr>
        <w:pStyle w:val="2"/>
        <w:jc w:val="center"/>
        <w:rPr>
          <w:rFonts w:hint="eastAsia"/>
          <w:sz w:val="32"/>
          <w:szCs w:val="32"/>
        </w:rPr>
      </w:pPr>
      <w:r>
        <w:rPr>
          <w:rFonts w:hint="eastAsia"/>
          <w:sz w:val="32"/>
          <w:szCs w:val="32"/>
        </w:rPr>
        <w:t>第二部分 投标商须知</w:t>
      </w:r>
      <w:bookmarkEnd w:id="0"/>
    </w:p>
    <w:p>
      <w:pPr>
        <w:pStyle w:val="3"/>
        <w:rPr>
          <w:rFonts w:hint="eastAsia"/>
          <w:sz w:val="21"/>
          <w:szCs w:val="21"/>
        </w:rPr>
      </w:pPr>
      <w:r>
        <w:rPr>
          <w:rFonts w:hint="eastAsia"/>
        </w:rPr>
        <w:t xml:space="preserve">   </w:t>
      </w:r>
      <w:r>
        <w:rPr>
          <w:rFonts w:hint="eastAsia"/>
          <w:sz w:val="21"/>
          <w:szCs w:val="21"/>
        </w:rPr>
        <w:t xml:space="preserve"> </w:t>
      </w:r>
      <w:bookmarkStart w:id="1" w:name="_Toc9532"/>
      <w:r>
        <w:rPr>
          <w:rFonts w:hint="eastAsia"/>
          <w:sz w:val="21"/>
          <w:szCs w:val="21"/>
        </w:rPr>
        <w:t>一、特别提醒</w:t>
      </w:r>
      <w:bookmarkEnd w:id="1"/>
    </w:p>
    <w:p>
      <w:pPr>
        <w:pStyle w:val="4"/>
        <w:spacing w:line="360" w:lineRule="auto"/>
        <w:ind w:firstLine="426"/>
        <w:rPr>
          <w:rFonts w:hint="eastAsia" w:ascii="仿宋" w:hAnsi="仿宋" w:eastAsia="仿宋" w:cs="仿宋"/>
          <w:sz w:val="21"/>
          <w:szCs w:val="21"/>
        </w:rPr>
      </w:pPr>
      <w:r>
        <w:rPr>
          <w:rFonts w:hint="eastAsia" w:ascii="仿宋" w:hAnsi="仿宋" w:eastAsia="仿宋" w:cs="仿宋"/>
          <w:sz w:val="21"/>
          <w:szCs w:val="21"/>
        </w:rPr>
        <w:t>各投标商须仔细阅读本招标书及附件，了解有关的招标规定，承担招标书对投标人的各项约束与责任。本次需求为</w:t>
      </w:r>
      <w:r>
        <w:rPr>
          <w:rFonts w:hint="eastAsia" w:ascii="仿宋" w:hAnsi="仿宋" w:eastAsia="仿宋" w:cs="仿宋"/>
          <w:b/>
          <w:szCs w:val="30"/>
        </w:rPr>
        <w:t>闭口</w:t>
      </w:r>
      <w:r>
        <w:rPr>
          <w:rFonts w:hint="eastAsia" w:ascii="仿宋" w:hAnsi="仿宋" w:eastAsia="仿宋" w:cs="仿宋"/>
          <w:sz w:val="21"/>
          <w:szCs w:val="21"/>
        </w:rPr>
        <w:t>需求，投标方须充分考虑学院的现在和未来的需求基础上，充分评估本项目的报价，中标后本项目不得以任何理由增加费用。凡不符合本招标书各项要求的标书，均认定为无效标书。</w:t>
      </w:r>
    </w:p>
    <w:p>
      <w:pPr>
        <w:spacing w:line="360" w:lineRule="auto"/>
        <w:outlineLvl w:val="0"/>
        <w:rPr>
          <w:rFonts w:hint="eastAsia" w:ascii="仿宋" w:hAnsi="仿宋" w:eastAsia="仿宋" w:cs="仿宋"/>
          <w:b/>
          <w:sz w:val="24"/>
        </w:rPr>
      </w:pPr>
      <w:r>
        <w:rPr>
          <w:rFonts w:hint="eastAsia" w:ascii="仿宋" w:hAnsi="仿宋" w:eastAsia="仿宋" w:cs="仿宋"/>
          <w:b/>
          <w:szCs w:val="21"/>
        </w:rPr>
        <w:t xml:space="preserve">   </w:t>
      </w:r>
      <w:bookmarkStart w:id="2" w:name="_Toc30849"/>
      <w:r>
        <w:rPr>
          <w:rStyle w:val="12"/>
          <w:rFonts w:hint="eastAsia"/>
          <w:sz w:val="21"/>
          <w:szCs w:val="21"/>
        </w:rPr>
        <w:t>二、投标单位需提供以下相关证明材料</w:t>
      </w:r>
      <w:bookmarkEnd w:id="2"/>
      <w:r>
        <w:rPr>
          <w:rStyle w:val="12"/>
          <w:rFonts w:hint="eastAsia"/>
          <w:sz w:val="24"/>
          <w:szCs w:val="24"/>
        </w:rPr>
        <w:t>（前三条需提供原件、复印件，接受招标单位资信审查）</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1．企业工商营业执照副本、组织机构代码、工商税务登记（地税、国税）复印件各一份，复印件加盖单位公章；“三证合一”的投标商提供新证复印件，并加盖单位公章。</w:t>
      </w:r>
    </w:p>
    <w:p>
      <w:pPr>
        <w:tabs>
          <w:tab w:val="left" w:pos="360"/>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2．法人授权委托书原件和被委托人身份证复印件各一份。</w:t>
      </w:r>
    </w:p>
    <w:p>
      <w:pPr>
        <w:tabs>
          <w:tab w:val="left" w:pos="360"/>
        </w:tabs>
        <w:spacing w:line="360" w:lineRule="auto"/>
        <w:ind w:firstLine="420" w:firstLineChars="200"/>
        <w:rPr>
          <w:rFonts w:hint="eastAsia" w:ascii="仿宋" w:hAnsi="仿宋" w:eastAsia="仿宋" w:cs="仿宋"/>
          <w:szCs w:val="21"/>
        </w:rPr>
      </w:pPr>
      <w:r>
        <w:rPr>
          <w:rFonts w:hint="eastAsia" w:ascii="仿宋" w:hAnsi="仿宋" w:eastAsia="仿宋" w:cs="仿宋"/>
          <w:szCs w:val="21"/>
        </w:rPr>
        <w:t>3．生产厂商授权书原件及</w:t>
      </w:r>
      <w:r>
        <w:rPr>
          <w:rFonts w:hint="eastAsia" w:ascii="仿宋" w:hAnsi="仿宋" w:eastAsia="仿宋" w:cs="仿宋"/>
          <w:szCs w:val="21"/>
          <w:shd w:val="clear" w:color="auto" w:fill="FFFFFF"/>
        </w:rPr>
        <w:t>针对此项目售后服务的承诺函</w:t>
      </w:r>
      <w:r>
        <w:rPr>
          <w:rFonts w:hint="eastAsia" w:ascii="仿宋" w:hAnsi="仿宋" w:eastAsia="仿宋" w:cs="仿宋"/>
          <w:szCs w:val="21"/>
        </w:rPr>
        <w:t>各一份。</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4．密封标书一式十一份，一份正本，十份副本，并加盖单位公章。（投标人应在封袋上标明《正本》、《副本》字样。正本和副本如有不一致之处，以正本为准。）</w:t>
      </w:r>
    </w:p>
    <w:p>
      <w:pPr>
        <w:spacing w:line="360" w:lineRule="auto"/>
        <w:outlineLvl w:val="0"/>
        <w:rPr>
          <w:rStyle w:val="12"/>
          <w:rFonts w:hint="eastAsia"/>
          <w:sz w:val="21"/>
          <w:szCs w:val="21"/>
        </w:rPr>
      </w:pPr>
      <w:r>
        <w:rPr>
          <w:rFonts w:hint="eastAsia" w:ascii="仿宋" w:hAnsi="仿宋" w:eastAsia="仿宋" w:cs="仿宋"/>
          <w:b/>
          <w:szCs w:val="21"/>
        </w:rPr>
        <w:t xml:space="preserve">    </w:t>
      </w:r>
      <w:bookmarkStart w:id="3" w:name="_Toc6218"/>
      <w:r>
        <w:rPr>
          <w:rStyle w:val="12"/>
          <w:rFonts w:hint="eastAsia"/>
          <w:sz w:val="21"/>
          <w:szCs w:val="21"/>
        </w:rPr>
        <w:t>三、投标相关事项</w:t>
      </w:r>
    </w:p>
    <w:bookmarkEnd w:id="3"/>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1．投标单位必须</w:t>
      </w:r>
      <w:r>
        <w:rPr>
          <w:rFonts w:hint="eastAsia" w:ascii="仿宋" w:hAnsi="仿宋" w:eastAsia="仿宋" w:cs="仿宋"/>
          <w:szCs w:val="21"/>
          <w:shd w:val="clear" w:color="auto" w:fill="FFFFFF"/>
        </w:rPr>
        <w:t>在中华人民共和国境内注册，能够独立承担民事责任，有生产或供应能力的本国供应商，遵守国家有关法律、法规、规章，具有良好的商业信誉和健全的财务会计制度。</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2．投标单位必须具有相应的硬软件开发、集成、安装、调试、售后服务能力，包括拥有相应的设备、技术及服务人员。</w:t>
      </w:r>
    </w:p>
    <w:p>
      <w:pPr>
        <w:snapToGrid w:val="0"/>
        <w:spacing w:line="360" w:lineRule="auto"/>
        <w:rPr>
          <w:rFonts w:hint="eastAsia" w:ascii="仿宋" w:hAnsi="仿宋" w:eastAsia="仿宋" w:cs="仿宋"/>
          <w:bCs/>
          <w:szCs w:val="21"/>
        </w:rPr>
      </w:pPr>
      <w:r>
        <w:rPr>
          <w:rFonts w:hint="eastAsia" w:ascii="仿宋" w:hAnsi="仿宋" w:eastAsia="仿宋" w:cs="仿宋"/>
          <w:szCs w:val="21"/>
        </w:rPr>
        <w:t xml:space="preserve">    3．投标单位需提供近3年完成的</w:t>
      </w:r>
      <w:r>
        <w:rPr>
          <w:rFonts w:hint="eastAsia" w:ascii="仿宋" w:hAnsi="仿宋" w:eastAsia="仿宋" w:cs="仿宋"/>
          <w:bCs/>
          <w:szCs w:val="21"/>
        </w:rPr>
        <w:t>同类型</w:t>
      </w:r>
      <w:r>
        <w:rPr>
          <w:rFonts w:hint="eastAsia" w:ascii="仿宋" w:hAnsi="仿宋" w:eastAsia="仿宋" w:cs="仿宋"/>
          <w:szCs w:val="21"/>
        </w:rPr>
        <w:t>同等级</w:t>
      </w:r>
      <w:r>
        <w:rPr>
          <w:rFonts w:hint="eastAsia" w:ascii="仿宋" w:hAnsi="仿宋" w:eastAsia="仿宋" w:cs="仿宋"/>
          <w:bCs/>
          <w:szCs w:val="21"/>
        </w:rPr>
        <w:t>或同规模及以上项目的案例和正在履行的合同情况。</w:t>
      </w:r>
    </w:p>
    <w:p>
      <w:pPr>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rPr>
        <w:t>4．投标单位所交付的软件系统及设备应为符合本标书规定的项目需求、性能指标要求及技术参数，并按行业标准制造并验收合格的品牌产品。</w:t>
      </w:r>
      <w:r>
        <w:rPr>
          <w:rFonts w:hint="eastAsia" w:ascii="仿宋" w:hAnsi="仿宋" w:eastAsia="仿宋" w:cs="仿宋"/>
          <w:szCs w:val="21"/>
          <w:shd w:val="clear" w:color="auto" w:fill="FFFFFF"/>
        </w:rPr>
        <w:t>具有生产商针对项目售后服务的承诺函。</w:t>
      </w:r>
    </w:p>
    <w:p>
      <w:pPr>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5.通过“信用中国”网站（www.creditchina.gov.cn）和中国政府采购网（www.ccgp.gov.cn）查询信用记录（截止时点为投标截止时间），对列入失信被执行人、重大税收违法案件当事人、政府采购严重违法失信行为记录名单的供应商，没有资格参加本项采购活动。</w:t>
      </w:r>
    </w:p>
    <w:p>
      <w:pPr>
        <w:spacing w:line="360" w:lineRule="auto"/>
        <w:ind w:firstLine="422" w:firstLineChars="200"/>
        <w:rPr>
          <w:rFonts w:hint="eastAsia" w:ascii="仿宋" w:hAnsi="仿宋" w:eastAsia="仿宋" w:cs="仿宋"/>
          <w:b/>
          <w:szCs w:val="21"/>
          <w:shd w:val="clear" w:color="auto" w:fill="FFFFFF"/>
        </w:rPr>
      </w:pPr>
      <w:r>
        <w:rPr>
          <w:rFonts w:hint="eastAsia" w:ascii="仿宋" w:hAnsi="仿宋" w:eastAsia="仿宋" w:cs="仿宋"/>
          <w:b/>
          <w:szCs w:val="21"/>
          <w:shd w:val="clear" w:color="auto" w:fill="FFFFFF"/>
        </w:rPr>
        <w:t>6.</w:t>
      </w:r>
      <w:r>
        <w:rPr>
          <w:rFonts w:hint="eastAsia" w:ascii="仿宋" w:hAnsi="仿宋" w:eastAsia="仿宋" w:cs="仿宋"/>
          <w:b/>
          <w:szCs w:val="21"/>
        </w:rPr>
        <w:t xml:space="preserve"> 投标单位</w:t>
      </w:r>
      <w:r>
        <w:rPr>
          <w:rFonts w:hint="eastAsia" w:ascii="仿宋" w:hAnsi="仿宋" w:eastAsia="仿宋" w:cs="仿宋"/>
          <w:b/>
          <w:szCs w:val="21"/>
          <w:shd w:val="clear" w:color="auto" w:fill="FFFFFF"/>
        </w:rPr>
        <w:t>报价按第三部分“项目建设清单（一）（二）（三）表中所列”分别报价并计算总价。</w:t>
      </w:r>
    </w:p>
    <w:p>
      <w:pPr>
        <w:spacing w:line="360" w:lineRule="auto"/>
        <w:rPr>
          <w:rFonts w:hint="eastAsia" w:ascii="仿宋" w:hAnsi="仿宋" w:eastAsia="仿宋" w:cs="仿宋"/>
          <w:b/>
          <w:szCs w:val="21"/>
        </w:rPr>
      </w:pPr>
      <w:r>
        <w:rPr>
          <w:rFonts w:hint="eastAsia" w:ascii="仿宋" w:hAnsi="仿宋" w:eastAsia="仿宋" w:cs="仿宋"/>
          <w:b/>
          <w:szCs w:val="21"/>
        </w:rPr>
        <w:t xml:space="preserve">  </w:t>
      </w:r>
      <w:r>
        <w:rPr>
          <w:rStyle w:val="12"/>
          <w:rFonts w:hint="eastAsia"/>
          <w:sz w:val="21"/>
          <w:szCs w:val="21"/>
        </w:rPr>
        <w:t xml:space="preserve"> </w:t>
      </w:r>
      <w:bookmarkStart w:id="4" w:name="_Toc26840"/>
      <w:r>
        <w:rPr>
          <w:rStyle w:val="12"/>
          <w:rFonts w:hint="eastAsia"/>
          <w:sz w:val="21"/>
          <w:szCs w:val="21"/>
        </w:rPr>
        <w:t>四、投标履约保证金</w:t>
      </w:r>
      <w:bookmarkEnd w:id="4"/>
    </w:p>
    <w:p>
      <w:pPr>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金额：人民币50,000元（人民币伍万元整）</w:t>
      </w:r>
    </w:p>
    <w:p>
      <w:pPr>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交付方式：银行转账</w:t>
      </w:r>
    </w:p>
    <w:p>
      <w:pPr>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收款单位（户名）：九州职业技术学院</w:t>
      </w:r>
    </w:p>
    <w:p>
      <w:pPr>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开户银行：工行泉山支行</w:t>
      </w:r>
    </w:p>
    <w:p>
      <w:pPr>
        <w:tabs>
          <w:tab w:val="left" w:pos="567"/>
        </w:tabs>
        <w:spacing w:line="360" w:lineRule="auto"/>
        <w:ind w:firstLine="420" w:firstLineChars="200"/>
        <w:rPr>
          <w:rFonts w:hint="eastAsia" w:ascii="仿宋" w:hAnsi="仿宋" w:eastAsia="仿宋" w:cs="仿宋"/>
          <w:szCs w:val="21"/>
          <w:shd w:val="clear" w:color="auto" w:fill="FFFFFF"/>
        </w:rPr>
      </w:pPr>
      <w:r>
        <w:rPr>
          <w:rFonts w:hint="eastAsia" w:ascii="仿宋" w:hAnsi="仿宋" w:eastAsia="仿宋" w:cs="仿宋"/>
          <w:szCs w:val="21"/>
          <w:shd w:val="clear" w:color="auto" w:fill="FFFFFF"/>
        </w:rPr>
        <w:t>银行账号：</w:t>
      </w:r>
      <w:r>
        <w:rPr>
          <w:rFonts w:hint="eastAsia" w:ascii="仿宋" w:hAnsi="仿宋" w:eastAsia="仿宋" w:cs="仿宋"/>
          <w:b/>
          <w:bCs/>
          <w:szCs w:val="21"/>
          <w:shd w:val="clear" w:color="auto" w:fill="FFFFFF"/>
        </w:rPr>
        <w:t>1106 0211 1921 0006 244</w:t>
      </w:r>
    </w:p>
    <w:p>
      <w:pPr>
        <w:spacing w:line="360" w:lineRule="auto"/>
        <w:ind w:firstLine="420" w:firstLineChars="200"/>
        <w:rPr>
          <w:rFonts w:hint="eastAsia" w:ascii="仿宋" w:hAnsi="仿宋" w:eastAsia="仿宋" w:cs="仿宋"/>
          <w:b/>
          <w:bCs/>
          <w:szCs w:val="21"/>
        </w:rPr>
      </w:pPr>
      <w:r>
        <w:rPr>
          <w:rFonts w:hint="eastAsia" w:ascii="仿宋" w:hAnsi="仿宋" w:eastAsia="仿宋" w:cs="仿宋"/>
          <w:szCs w:val="21"/>
          <w:shd w:val="clear" w:color="auto" w:fill="FFFFFF"/>
        </w:rPr>
        <w:t>转账需标准投标单位名称全称。未按时足额缴纳投标保证金的投标商，将视为无效投标。</w:t>
      </w:r>
    </w:p>
    <w:p>
      <w:pPr>
        <w:tabs>
          <w:tab w:val="left" w:pos="567"/>
        </w:tabs>
        <w:spacing w:line="360" w:lineRule="auto"/>
        <w:ind w:firstLine="422" w:firstLineChars="200"/>
        <w:rPr>
          <w:rFonts w:hint="eastAsia" w:ascii="仿宋" w:hAnsi="仿宋" w:eastAsia="仿宋" w:cs="仿宋"/>
          <w:b/>
          <w:bCs/>
          <w:szCs w:val="21"/>
        </w:rPr>
      </w:pPr>
      <w:r>
        <w:rPr>
          <w:rFonts w:hint="eastAsia" w:ascii="仿宋" w:hAnsi="仿宋" w:eastAsia="仿宋" w:cs="仿宋"/>
          <w:b/>
          <w:bCs/>
          <w:szCs w:val="21"/>
        </w:rPr>
        <w:t>下列任何情况发生时，投标保证金将被不予退还：</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（1）投标人在投标文件中提供虚假材料的；</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（2）中标人不按本须知的规定与采购人签订合同的；</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（3）将中标项目转让给他人，或者在投标文件中未说明，且未经采购人同意，将中标项目分包给他人的；</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（4）拒绝履行合同义务的。</w:t>
      </w:r>
    </w:p>
    <w:p>
      <w:pPr>
        <w:spacing w:line="360" w:lineRule="auto"/>
        <w:rPr>
          <w:rStyle w:val="12"/>
          <w:rFonts w:hint="eastAsia"/>
          <w:sz w:val="21"/>
          <w:szCs w:val="21"/>
        </w:rPr>
      </w:pPr>
      <w:r>
        <w:rPr>
          <w:rFonts w:hint="eastAsia" w:ascii="仿宋" w:hAnsi="仿宋" w:eastAsia="仿宋" w:cs="仿宋"/>
          <w:b/>
          <w:szCs w:val="21"/>
        </w:rPr>
        <w:t xml:space="preserve">   </w:t>
      </w:r>
      <w:bookmarkStart w:id="5" w:name="_Toc12640"/>
      <w:r>
        <w:rPr>
          <w:rStyle w:val="12"/>
          <w:rFonts w:hint="eastAsia"/>
          <w:sz w:val="21"/>
          <w:szCs w:val="21"/>
        </w:rPr>
        <w:t>五、 评标和决标</w:t>
      </w:r>
    </w:p>
    <w:bookmarkEnd w:id="5"/>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1．为了保证此次招投标工作遵循公开、公平、公正和诚实信用的原则，九州职业技术学院专门成立了评标组，评标组由技术专家、职能管理部门相关人员组成。</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评标组对投标进行评审，最后选定中标人。评标遵循对买方最为有利的原则，根据投标商提供的软硬件品牌、质量、价格、服务承诺、投标商的实力信誉等多项因素加以综合评议，最优的价格、最佳的质量、最好的服务等是决定中标与否的依据。</w:t>
      </w:r>
    </w:p>
    <w:p>
      <w:pPr>
        <w:tabs>
          <w:tab w:val="left" w:pos="1365"/>
        </w:tabs>
        <w:spacing w:line="360" w:lineRule="auto"/>
        <w:ind w:firstLine="420" w:firstLineChars="200"/>
        <w:rPr>
          <w:rFonts w:hint="eastAsia" w:ascii="仿宋" w:hAnsi="仿宋" w:eastAsia="仿宋" w:cs="仿宋"/>
          <w:color w:val="FF0000"/>
          <w:szCs w:val="21"/>
        </w:rPr>
      </w:pPr>
      <w:r>
        <w:rPr>
          <w:rFonts w:hint="eastAsia" w:ascii="仿宋" w:hAnsi="仿宋" w:eastAsia="仿宋" w:cs="仿宋"/>
          <w:szCs w:val="21"/>
        </w:rPr>
        <w:t>3．招标会后3个工作日内，由九州职业技术学院招标组通知中标方。未中标的单位不发通知，对未中标的原因招标人不予解释，投标履约保证金予以退还。</w:t>
      </w:r>
    </w:p>
    <w:p>
      <w:pPr>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4．中标方应于收到中标通知后即3日内与我校以投标书及现场承诺为准，确定合同的条款，签订正式软件实施、硬件供货买卖合同。中标人若因自己的原因不能在规定时间内履约签订合同，评标组有权取消中标方中标资格并扣除中标人的投标履约保证金，重新评定中标人。</w:t>
      </w:r>
    </w:p>
    <w:p>
      <w:pPr>
        <w:tabs>
          <w:tab w:val="left" w:pos="426"/>
        </w:tabs>
        <w:spacing w:line="360" w:lineRule="auto"/>
        <w:ind w:firstLine="373" w:firstLineChars="177"/>
        <w:rPr>
          <w:rFonts w:hint="eastAsia" w:ascii="仿宋" w:hAnsi="仿宋" w:eastAsia="仿宋" w:cs="仿宋"/>
          <w:b/>
          <w:bCs/>
          <w:szCs w:val="21"/>
        </w:rPr>
      </w:pPr>
      <w:r>
        <w:rPr>
          <w:rFonts w:hint="eastAsia" w:ascii="仿宋" w:hAnsi="仿宋" w:eastAsia="仿宋" w:cs="仿宋"/>
          <w:b/>
          <w:bCs/>
          <w:szCs w:val="21"/>
        </w:rPr>
        <w:t>5、发现下列情况之一的，其投标将被予以拒绝：</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1)投标人未按要求提交投标保证金；</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2)超出经营范围投标的；</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3)不满足合格的投标人条件的，包括通过“信用中国”网站（www.creditchina.gov.cn）和中国政府采购网（www.ccgp.gov.cn）进行查询（截止时点为投标截止时间），发现有被列入失信被执行人、重大税收违法案件当事人、政府采购严重违法失信行为记录名单供应商的；</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 xml:space="preserve">4)资格证明文件不全的； </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5)不符合法律、法规和招标文件中规定的其它实质性要求的。</w:t>
      </w:r>
    </w:p>
    <w:p>
      <w:pPr>
        <w:spacing w:line="360" w:lineRule="auto"/>
        <w:outlineLvl w:val="0"/>
        <w:rPr>
          <w:rFonts w:hint="eastAsia" w:ascii="仿宋" w:hAnsi="仿宋" w:eastAsia="仿宋" w:cs="仿宋"/>
          <w:b/>
          <w:szCs w:val="21"/>
        </w:rPr>
      </w:pPr>
      <w:r>
        <w:rPr>
          <w:rFonts w:hint="eastAsia" w:ascii="仿宋" w:hAnsi="仿宋" w:eastAsia="仿宋" w:cs="仿宋"/>
          <w:b/>
          <w:sz w:val="24"/>
        </w:rPr>
        <w:t xml:space="preserve"> </w:t>
      </w:r>
      <w:r>
        <w:rPr>
          <w:rFonts w:hint="eastAsia" w:ascii="仿宋" w:hAnsi="仿宋" w:eastAsia="仿宋" w:cs="仿宋"/>
          <w:b/>
          <w:szCs w:val="21"/>
        </w:rPr>
        <w:t xml:space="preserve">  </w:t>
      </w:r>
      <w:bookmarkStart w:id="6" w:name="_Toc2913"/>
      <w:r>
        <w:rPr>
          <w:rStyle w:val="12"/>
          <w:rFonts w:hint="eastAsia"/>
          <w:sz w:val="21"/>
          <w:szCs w:val="21"/>
        </w:rPr>
        <w:t>六、合同条款要求</w:t>
      </w:r>
      <w:bookmarkEnd w:id="6"/>
    </w:p>
    <w:p>
      <w:pPr>
        <w:spacing w:line="360" w:lineRule="auto"/>
        <w:ind w:left="424" w:leftChars="202"/>
        <w:rPr>
          <w:rFonts w:hint="eastAsia" w:ascii="仿宋" w:hAnsi="仿宋" w:eastAsia="仿宋" w:cs="仿宋"/>
          <w:b/>
          <w:szCs w:val="21"/>
        </w:rPr>
      </w:pPr>
      <w:r>
        <w:rPr>
          <w:rFonts w:hint="eastAsia" w:ascii="仿宋" w:hAnsi="仿宋" w:eastAsia="仿宋" w:cs="仿宋"/>
          <w:b/>
          <w:szCs w:val="21"/>
        </w:rPr>
        <w:t>1.质量保证</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(1)中标方开放数据库和数据字典，免费提供各类接口；能根据我校情况需求进行个性化二次开发，提供二次开发的标准文档，并提供二次开发深入培训，方便用户自行二次开发；支持这些数据进行二次加工与分析，并在移动设备上呈现。深入学校各职能部门，各院系进行工作流程调研，表单、流程的制作需涵盖学校所有相关部门，满足学校各部门的需求。</w:t>
      </w:r>
    </w:p>
    <w:p>
      <w:pPr>
        <w:spacing w:line="360" w:lineRule="auto"/>
        <w:ind w:firstLine="420" w:firstLineChars="200"/>
        <w:rPr>
          <w:rFonts w:hint="eastAsia" w:ascii="仿宋" w:hAnsi="仿宋" w:eastAsia="仿宋" w:cs="仿宋"/>
          <w:szCs w:val="21"/>
        </w:rPr>
      </w:pPr>
      <w:r>
        <w:rPr>
          <w:rFonts w:hint="eastAsia" w:ascii="仿宋" w:hAnsi="仿宋" w:eastAsia="仿宋" w:cs="仿宋"/>
          <w:szCs w:val="21"/>
        </w:rPr>
        <w:t>(2)中标方需提供完整详细的项目实施方案，系统上线和试运行期间要有驻场人员保障系统稳定运行。系统验收后应交付相关文档，包括系统部署文档、数据库字典表、系统软件模块功能说明文档、用户手册、管理员手册等。软件实施阶段结束、硬件设备安装竣工并验收合格之日为质保期起算日。中标方应保证其提供的软件、设备、材料等是正版的、全新的，并符合合同规定的生产厂家、品牌、型号、主要技术参数和质量，否则招标方将有权拒收并追究投标方的相应违约责任。</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（3）中标方应免费提供与本次招标项目相关的所有技术资料,包括所有设备的配套文件(含厂商的质保书、合格证) 、用户手册、操作手册、安装手册、装箱单、系统安全设计及相关文档等，提供7*24小时技术支持服务热线；软硬件出现故障一小时内做出响应, 两小时内派员处理故障，最迟在二十四小时内排除故障；当涉及更换软件、设备或备件时，所换上的设备或备件将自更换之日起继续享有规定的质保。以上服务所产生的所有费用由投标中标方或卖方公司承担。</w:t>
      </w:r>
    </w:p>
    <w:p>
      <w:pPr>
        <w:spacing w:line="360" w:lineRule="auto"/>
        <w:ind w:left="424" w:leftChars="202"/>
        <w:rPr>
          <w:rFonts w:hint="eastAsia" w:ascii="仿宋" w:hAnsi="仿宋" w:eastAsia="仿宋" w:cs="仿宋"/>
          <w:b/>
          <w:szCs w:val="21"/>
        </w:rPr>
      </w:pPr>
      <w:r>
        <w:rPr>
          <w:rFonts w:hint="eastAsia" w:ascii="仿宋" w:hAnsi="仿宋" w:eastAsia="仿宋" w:cs="仿宋"/>
          <w:b/>
          <w:szCs w:val="21"/>
        </w:rPr>
        <w:t xml:space="preserve"> 2．标的交付期限及服务</w:t>
      </w:r>
    </w:p>
    <w:p>
      <w:pPr>
        <w:spacing w:line="360" w:lineRule="auto"/>
        <w:ind w:firstLine="514" w:firstLineChars="245"/>
        <w:rPr>
          <w:rFonts w:hint="eastAsia" w:ascii="仿宋" w:hAnsi="仿宋" w:eastAsia="仿宋" w:cs="仿宋"/>
          <w:szCs w:val="21"/>
        </w:rPr>
      </w:pPr>
      <w:r>
        <w:rPr>
          <w:rFonts w:hint="eastAsia" w:ascii="仿宋" w:hAnsi="仿宋" w:eastAsia="仿宋" w:cs="仿宋"/>
          <w:szCs w:val="21"/>
        </w:rPr>
        <w:t>自正式买卖合同生效之日起一年内完成，各类应用系统应进入全面试运行，投标方应从项目验收之日起提供至少软件为期1年硬件为期3年的免费服务。投标方需要在投标文件中给出预实施工期进度表。具体进度要求待定，中标后与招标方商议决定。</w:t>
      </w:r>
    </w:p>
    <w:p>
      <w:pPr>
        <w:spacing w:line="360" w:lineRule="auto"/>
        <w:ind w:left="424" w:leftChars="202"/>
        <w:rPr>
          <w:rFonts w:hint="eastAsia" w:ascii="仿宋" w:hAnsi="仿宋" w:eastAsia="仿宋" w:cs="仿宋"/>
          <w:b/>
          <w:szCs w:val="21"/>
        </w:rPr>
      </w:pPr>
      <w:r>
        <w:rPr>
          <w:rFonts w:hint="eastAsia" w:ascii="仿宋" w:hAnsi="仿宋" w:eastAsia="仿宋" w:cs="仿宋"/>
          <w:b/>
          <w:szCs w:val="21"/>
        </w:rPr>
        <w:t xml:space="preserve"> 3．标书、双方认定的投标书及评标过程中双方认定的补充文件作为合同的一部分。</w:t>
      </w:r>
    </w:p>
    <w:p>
      <w:pPr>
        <w:spacing w:line="360" w:lineRule="auto"/>
        <w:ind w:left="424" w:leftChars="202"/>
        <w:rPr>
          <w:rFonts w:hint="eastAsia" w:ascii="仿宋" w:hAnsi="仿宋" w:eastAsia="仿宋" w:cs="仿宋"/>
          <w:b/>
          <w:szCs w:val="21"/>
        </w:rPr>
      </w:pPr>
      <w:r>
        <w:rPr>
          <w:rFonts w:hint="eastAsia" w:ascii="仿宋" w:hAnsi="仿宋" w:eastAsia="仿宋" w:cs="仿宋"/>
          <w:b/>
          <w:szCs w:val="21"/>
        </w:rPr>
        <w:t xml:space="preserve"> 4．合同经双方签字盖章后生效。</w:t>
      </w:r>
    </w:p>
    <w:p>
      <w:pPr>
        <w:pStyle w:val="3"/>
        <w:spacing w:before="0" w:after="0" w:line="360" w:lineRule="auto"/>
        <w:rPr>
          <w:rFonts w:hint="eastAsia"/>
          <w:sz w:val="21"/>
          <w:szCs w:val="21"/>
        </w:rPr>
      </w:pPr>
      <w:r>
        <w:rPr>
          <w:rFonts w:hint="eastAsia"/>
          <w:sz w:val="21"/>
          <w:szCs w:val="21"/>
        </w:rPr>
        <w:t xml:space="preserve">    </w:t>
      </w:r>
      <w:bookmarkStart w:id="7" w:name="_Toc31750"/>
      <w:r>
        <w:rPr>
          <w:rFonts w:hint="eastAsia"/>
          <w:sz w:val="21"/>
          <w:szCs w:val="21"/>
        </w:rPr>
        <w:t>七．投标文件构成</w:t>
      </w:r>
      <w:bookmarkEnd w:id="7"/>
    </w:p>
    <w:p>
      <w:pPr>
        <w:tabs>
          <w:tab w:val="left" w:pos="426"/>
        </w:tabs>
        <w:spacing w:line="360" w:lineRule="auto"/>
        <w:ind w:firstLine="373" w:firstLineChars="177"/>
        <w:rPr>
          <w:rFonts w:hint="eastAsia" w:ascii="仿宋" w:hAnsi="仿宋" w:eastAsia="仿宋" w:cs="仿宋"/>
          <w:szCs w:val="21"/>
        </w:rPr>
      </w:pPr>
      <w:r>
        <w:rPr>
          <w:rFonts w:hint="eastAsia" w:ascii="仿宋" w:hAnsi="仿宋" w:eastAsia="仿宋" w:cs="仿宋"/>
          <w:b/>
          <w:bCs/>
          <w:szCs w:val="21"/>
        </w:rPr>
        <w:t xml:space="preserve"> 1、投标人编写的投标文件应包括下列部分</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1)按照本须知要求填写的投标书、投标分项报价表；</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2)按照本须知要求出具的资格证明文件，证明投标人是合格的，而且中标后有能力履行合同；</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3)按照本须知要求出具的证明文件，证明投标人提供的货物及服务是合格的货物和服务，且符合招标文件规定；</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4)按照本须知规定提交的投标保证金；</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5)投标人认为其它需要提供的文件和证书；</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6)投标人提供的上述材料必须真实有效，任何一项的虚假将有可能导致其投标被拒绝。</w:t>
      </w:r>
    </w:p>
    <w:p>
      <w:pPr>
        <w:tabs>
          <w:tab w:val="left" w:pos="426"/>
        </w:tabs>
        <w:spacing w:line="360" w:lineRule="auto"/>
        <w:ind w:firstLine="373" w:firstLineChars="177"/>
        <w:rPr>
          <w:rFonts w:hint="eastAsia" w:ascii="仿宋" w:hAnsi="仿宋" w:eastAsia="仿宋" w:cs="仿宋"/>
          <w:b/>
          <w:bCs/>
          <w:szCs w:val="21"/>
        </w:rPr>
      </w:pPr>
      <w:r>
        <w:rPr>
          <w:rFonts w:hint="eastAsia" w:ascii="仿宋" w:hAnsi="仿宋" w:eastAsia="仿宋" w:cs="仿宋"/>
          <w:b/>
          <w:bCs/>
          <w:szCs w:val="21"/>
        </w:rPr>
        <w:t>2．投标报价</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1)本项目要求投标人必须以人民币形式报出所投标产品到用户现场的全部费用，包括产品和标准附件、备品备件、专用工具的价格，也包括安装、调试、检验、培训、技术服务、相关运输费和保险费等费用。</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 xml:space="preserve">2)投标人应在投标分项报价表上标明本合同拟提供货物/服务的单价和总价。 </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3)投标人根据本须知的规定将投标价分成几部分，只是为了方便招标采购单位和评标委员会对投标文件进行比较，并不限制采购人以上述任何条件订立合同的权力。</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4)投标人所报的各分项投标单价在合同执行过程中是固定不变的，不得以任何理由予以变更，以可调整的价格提交的投标文件将作为非响应性投标而予以拒绝。</w:t>
      </w:r>
    </w:p>
    <w:p>
      <w:pPr>
        <w:tabs>
          <w:tab w:val="left" w:pos="426"/>
        </w:tabs>
        <w:spacing w:line="360" w:lineRule="auto"/>
        <w:ind w:firstLine="373" w:firstLineChars="177"/>
        <w:rPr>
          <w:rFonts w:hint="eastAsia" w:ascii="仿宋" w:hAnsi="仿宋" w:eastAsia="仿宋" w:cs="仿宋"/>
          <w:szCs w:val="21"/>
        </w:rPr>
      </w:pPr>
      <w:r>
        <w:rPr>
          <w:rFonts w:hint="eastAsia" w:ascii="仿宋" w:hAnsi="仿宋" w:eastAsia="仿宋" w:cs="仿宋"/>
          <w:b/>
          <w:bCs/>
          <w:szCs w:val="21"/>
        </w:rPr>
        <w:t>3．证明投标人合格和资格的文件</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1)投标人应提交证明其有资格参加投标和中标后有能力履行合同的文件，并作为其投标文件的一部分。</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2)投标人应提交证明其合格性的文件，如营业执照等资格证明文件，以使招标采购单位满意。投标人应符合本须知对合格投标人的要求。</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3)投标人提交的证明其中标后能履行合同的资格证明文件应使招标采购单位满意。</w:t>
      </w:r>
    </w:p>
    <w:p>
      <w:pPr>
        <w:tabs>
          <w:tab w:val="left" w:pos="426"/>
        </w:tabs>
        <w:spacing w:line="360" w:lineRule="auto"/>
        <w:ind w:firstLine="373" w:firstLineChars="177"/>
        <w:rPr>
          <w:rFonts w:hint="eastAsia" w:ascii="仿宋" w:hAnsi="仿宋" w:eastAsia="仿宋" w:cs="仿宋"/>
          <w:szCs w:val="21"/>
        </w:rPr>
      </w:pPr>
      <w:r>
        <w:rPr>
          <w:rFonts w:hint="eastAsia" w:ascii="仿宋" w:hAnsi="仿宋" w:eastAsia="仿宋" w:cs="仿宋"/>
          <w:b/>
          <w:bCs/>
          <w:szCs w:val="21"/>
        </w:rPr>
        <w:t>4．证明产品的合格性和符合招标文件规定的文件</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1) 投标人应提交证明文件证明其拟供的合同项下的货物和服务的合格性和符合招标文件规定。该证明文件作为投标文件的一部分。</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2) 证明货物和服务满足招标文件的要求的文件，可以是文字资料、图纸和数据，它包括但不限于：</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I）技术方案。</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II）项目实施方案及售后服务方案和承诺。</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III）对照招标文件技术要求,说明所提供产品和服务已对采购人的技术要求做出了实质性的响应，或申明与技术要求条文的偏差和例外。</w:t>
      </w:r>
    </w:p>
    <w:p>
      <w:pPr>
        <w:tabs>
          <w:tab w:val="left" w:pos="426"/>
        </w:tabs>
        <w:spacing w:line="360" w:lineRule="auto"/>
        <w:ind w:firstLine="373" w:firstLineChars="177"/>
        <w:rPr>
          <w:rFonts w:hint="eastAsia" w:ascii="仿宋" w:hAnsi="仿宋" w:eastAsia="仿宋" w:cs="仿宋"/>
          <w:szCs w:val="21"/>
        </w:rPr>
      </w:pPr>
      <w:r>
        <w:rPr>
          <w:rFonts w:hint="eastAsia" w:ascii="仿宋" w:hAnsi="仿宋" w:eastAsia="仿宋" w:cs="仿宋"/>
          <w:b/>
          <w:bCs/>
          <w:szCs w:val="21"/>
        </w:rPr>
        <w:t>5．投标有效期</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投标应在规定的开标日起30日内保持有效，投标有效期不满足要求的投标将被视为非响应性投标而予以拒绝。</w:t>
      </w:r>
    </w:p>
    <w:p>
      <w:pPr>
        <w:tabs>
          <w:tab w:val="left" w:pos="426"/>
        </w:tabs>
        <w:spacing w:line="360" w:lineRule="auto"/>
        <w:ind w:firstLine="373" w:firstLineChars="177"/>
        <w:rPr>
          <w:rFonts w:hint="eastAsia" w:ascii="仿宋" w:hAnsi="仿宋" w:eastAsia="仿宋" w:cs="仿宋"/>
          <w:szCs w:val="21"/>
        </w:rPr>
      </w:pPr>
      <w:r>
        <w:rPr>
          <w:rFonts w:hint="eastAsia" w:ascii="仿宋" w:hAnsi="仿宋" w:eastAsia="仿宋" w:cs="仿宋"/>
          <w:b/>
          <w:bCs/>
          <w:szCs w:val="21"/>
        </w:rPr>
        <w:t>6．投标文件的式样和签署</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1） 投标人应准备1份投标文件正本和10份副本，每套投标文件须清楚地标明“正本”或“副本”。若正本和副本不符，以正本为准。</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2）投标文件正本应由投标人法定代表人或经正式授权并对投标人有约束力的代表在规定的地方签字、加盖公章。授权代表须将以书面形式出具的授权书附在投标文件中。</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3）任何行间插字、涂改和增删，必须由投标文件签字人在旁边签字才有效。</w:t>
      </w:r>
    </w:p>
    <w:p>
      <w:pPr>
        <w:tabs>
          <w:tab w:val="left" w:pos="426"/>
        </w:tabs>
        <w:spacing w:line="360" w:lineRule="auto"/>
        <w:ind w:firstLine="372" w:firstLineChars="177"/>
        <w:rPr>
          <w:rFonts w:hint="eastAsia" w:ascii="仿宋" w:hAnsi="仿宋" w:eastAsia="仿宋" w:cs="仿宋"/>
          <w:szCs w:val="21"/>
        </w:rPr>
      </w:pPr>
      <w:r>
        <w:rPr>
          <w:rFonts w:hint="eastAsia" w:ascii="仿宋" w:hAnsi="仿宋" w:eastAsia="仿宋" w:cs="仿宋"/>
          <w:szCs w:val="21"/>
        </w:rPr>
        <w:t>4） 投标文件正副本均须装订牢固，不得活页装订，否则其投标将被拒绝。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中倩简体">
    <w:altName w:val="Segoe Print"/>
    <w:panose1 w:val="00000000000000000000"/>
    <w:charset w:val="00"/>
    <w:family w:val="auto"/>
    <w:pitch w:val="default"/>
    <w:sig w:usb0="00000000" w:usb1="00000000" w:usb2="00000000" w:usb3="00000000" w:csb0="00040001" w:csb1="00000000"/>
  </w:font>
  <w:font w:name="方正艺黑简体">
    <w:altName w:val="黑体"/>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rebuchet MS">
    <w:panose1 w:val="020B0603020202020204"/>
    <w:charset w:val="00"/>
    <w:family w:val="swiss"/>
    <w:pitch w:val="default"/>
    <w:sig w:usb0="000002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417CC"/>
    <w:rsid w:val="07312B0E"/>
    <w:rsid w:val="1A1417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uiPriority w:val="0"/>
    <w:pPr>
      <w:ind w:firstLine="600"/>
    </w:pPr>
    <w:rPr>
      <w:sz w:val="30"/>
      <w:szCs w:val="20"/>
    </w:rPr>
  </w:style>
  <w:style w:type="paragraph" w:styleId="5">
    <w:name w:val="toc 3"/>
    <w:basedOn w:val="1"/>
    <w:next w:val="1"/>
    <w:uiPriority w:val="0"/>
    <w:pPr>
      <w:tabs>
        <w:tab w:val="right" w:leader="dot" w:pos="8302"/>
      </w:tabs>
      <w:ind w:left="420"/>
      <w:jc w:val="left"/>
    </w:pPr>
    <w:rPr>
      <w:sz w:val="20"/>
      <w:szCs w:val="20"/>
    </w:rPr>
  </w:style>
  <w:style w:type="paragraph" w:styleId="6">
    <w:name w:val="toc 1"/>
    <w:basedOn w:val="1"/>
    <w:next w:val="1"/>
    <w:uiPriority w:val="0"/>
    <w:pPr>
      <w:tabs>
        <w:tab w:val="left" w:pos="840"/>
        <w:tab w:val="right" w:leader="dot" w:pos="8302"/>
      </w:tabs>
      <w:spacing w:before="120" w:after="120"/>
      <w:jc w:val="left"/>
    </w:pPr>
    <w:rPr>
      <w:rFonts w:ascii="宋体" w:hAnsi="宋体"/>
    </w:rPr>
  </w:style>
  <w:style w:type="paragraph" w:styleId="7">
    <w:name w:val="toc 4"/>
    <w:basedOn w:val="1"/>
    <w:next w:val="1"/>
    <w:uiPriority w:val="0"/>
    <w:pPr>
      <w:ind w:left="1260" w:leftChars="600"/>
    </w:pPr>
  </w:style>
  <w:style w:type="paragraph" w:styleId="8">
    <w:name w:val="toc 2"/>
    <w:basedOn w:val="1"/>
    <w:next w:val="1"/>
    <w:uiPriority w:val="0"/>
    <w:pPr>
      <w:ind w:left="210"/>
      <w:jc w:val="left"/>
    </w:pPr>
    <w:rPr>
      <w:smallCaps/>
      <w:sz w:val="20"/>
      <w:szCs w:val="20"/>
    </w:rPr>
  </w:style>
  <w:style w:type="paragraph" w:customStyle="1" w:styleId="11">
    <w:name w:val="标题4"/>
    <w:basedOn w:val="1"/>
    <w:next w:val="1"/>
    <w:uiPriority w:val="0"/>
    <w:rPr>
      <w:rFonts w:ascii="Calibri" w:hAnsi="Calibri" w:eastAsia="黑体" w:cs="Times New Roman"/>
      <w:b/>
      <w:sz w:val="28"/>
    </w:rPr>
  </w:style>
  <w:style w:type="character" w:customStyle="1" w:styleId="12">
    <w:name w:val="标题 2 Char1"/>
    <w:link w:val="3"/>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2017-02-28T01:14:00Z</dcterms:created>
  <dc:creator>Administrator</dc:creator>
  <cp:lastModifiedBy>Administrator</cp:lastModifiedBy>
  <dcterms:modified xsi:type="dcterms:W3CDTF">2017-02-28T01:16:24Z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